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RONPA0319ZPB</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*Codare temporară, aceasta va fi actualizată conform specificațiilor de raportare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Cheile Globului</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1.3. Încadrarea ZPB în: </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395760847"/>
          <w:tag w:val="goog_rdk_0"/>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Arie naturală protejată</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296722213"/>
          <w:tag w:val="goog_rdk_1"/>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OECM (Other effective area-based conservation measures)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059012724"/>
          <w:tag w:val="goog_rdk_2"/>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Zonă potențială care să devină arie naturală protejată</w:t>
      </w:r>
    </w:p>
    <w:tbl>
      <w:tblPr>
        <w:tblStyle w:val="Table1"/>
        <w:tblW w:w="8980.0" w:type="dxa"/>
        <w:jc w:val="left"/>
        <w:tblInd w:w="-98.0" w:type="dxa"/>
        <w:tblLayout w:type="fixed"/>
        <w:tblLook w:val="0400"/>
      </w:tblPr>
      <w:tblGrid>
        <w:gridCol w:w="4491"/>
        <w:gridCol w:w="4489"/>
      </w:tblGrid>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1.4. Data completării</w:t>
            </w:r>
            <w:r w:rsidDel="00000000" w:rsidR="00000000" w:rsidRPr="00000000">
              <w:rPr>
                <w:rtl w:val="0"/>
              </w:rPr>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3"/>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1.7. Datele indicării și desemnării ca ZPB</w:t>
      </w:r>
      <w:r w:rsidDel="00000000" w:rsidR="00000000" w:rsidRPr="00000000">
        <w:rPr>
          <w:rtl w:val="0"/>
        </w:rPr>
      </w:r>
    </w:p>
    <w:tbl>
      <w:tblPr>
        <w:tblStyle w:val="Table4"/>
        <w:tblW w:w="8980.0" w:type="dxa"/>
        <w:jc w:val="left"/>
        <w:tblInd w:w="-98.0" w:type="dxa"/>
        <w:tblLayout w:type="fixed"/>
        <w:tblLook w:val="0400"/>
      </w:tblPr>
      <w:tblGrid>
        <w:gridCol w:w="4454"/>
        <w:gridCol w:w="4526"/>
      </w:tblGrid>
      <w:tr>
        <w:trPr>
          <w:cantSplit w:val="0"/>
          <w:tblHeader w:val="0"/>
        </w:trPr>
        <w:tc>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Data desemnării ca ZPB:</w:t>
            </w:r>
          </w:p>
        </w:tc>
        <w:tc>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5"/>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Referința legală națională a desemnării ZPB:</w:t>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82,50</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94,51%</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2.3. Încadrarea ZPB în regiunile administrative</w:t>
      </w:r>
      <w:r w:rsidDel="00000000" w:rsidR="00000000" w:rsidRPr="00000000">
        <w:rPr>
          <w:rtl w:val="0"/>
        </w:rPr>
      </w:r>
    </w:p>
    <w:tbl>
      <w:tblPr>
        <w:tblStyle w:val="Table6"/>
        <w:tblW w:w="8980.0" w:type="dxa"/>
        <w:jc w:val="left"/>
        <w:tblInd w:w="-98.0" w:type="dxa"/>
        <w:tblLayout w:type="fixed"/>
        <w:tblLook w:val="0400"/>
      </w:tblPr>
      <w:tblGrid>
        <w:gridCol w:w="3157"/>
        <w:gridCol w:w="443"/>
        <w:gridCol w:w="5380"/>
      </w:tblGrid>
      <w:tr>
        <w:trPr>
          <w:cantSplit w:val="0"/>
          <w:tblHeader w:val="0"/>
        </w:trPr>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NUTS</w:t>
            </w:r>
          </w:p>
        </w:tc>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RO42</w:t>
            </w:r>
          </w:p>
        </w:tc>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Vest</w:t>
            </w:r>
          </w:p>
        </w:tc>
      </w:tr>
    </w:tbl>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Numele Județului/Județelor</w:t>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Caraș-Severin</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2.4. Încadrarea ZPB în regiunile biogeografice</w:t>
      </w:r>
      <w:r w:rsidDel="00000000" w:rsidR="00000000" w:rsidRPr="00000000">
        <w:rPr>
          <w:rtl w:val="0"/>
        </w:rPr>
      </w:r>
    </w:p>
    <w:tbl>
      <w:tblPr>
        <w:tblStyle w:val="Table7"/>
        <w:tblW w:w="8980.000000000002" w:type="dxa"/>
        <w:jc w:val="left"/>
        <w:tblInd w:w="-98.0" w:type="dxa"/>
        <w:tblLayout w:type="fixed"/>
        <w:tblLook w:val="0400"/>
      </w:tblPr>
      <w:tblGrid>
        <w:gridCol w:w="2805"/>
        <w:gridCol w:w="236"/>
        <w:gridCol w:w="2873"/>
        <w:gridCol w:w="236"/>
        <w:gridCol w:w="2830"/>
      </w:tblGrid>
      <w:tr>
        <w:trPr>
          <w:cantSplit w:val="0"/>
          <w:tblHeader w:val="0"/>
        </w:trPr>
        <w:tc>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704939361"/>
                <w:tag w:val="goog_rdk_3"/>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Alpină %</w:t>
            </w:r>
          </w:p>
        </w:tc>
        <w:tc>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284688967"/>
                <w:tag w:val="goog_rdk_4"/>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Continentală 100%</w:t>
            </w:r>
          </w:p>
        </w:tc>
        <w:tc>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2082554878"/>
                <w:tag w:val="goog_rdk_5"/>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Panonică %</w:t>
            </w:r>
          </w:p>
        </w:tc>
      </w:tr>
      <w:tr>
        <w:trPr>
          <w:cantSplit w:val="0"/>
          <w:tblHeader w:val="0"/>
        </w:trPr>
        <w:tc>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350296477"/>
                <w:tag w:val="goog_rdk_6"/>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Stepică %</w:t>
            </w:r>
          </w:p>
        </w:tc>
        <w:tc>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301307134"/>
                <w:tag w:val="goog_rdk_7"/>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Pontică %</w:t>
            </w:r>
          </w:p>
        </w:tc>
        <w:tc>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932934198"/>
                <w:tag w:val="goog_rdk_8"/>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Marea Neagră %</w:t>
            </w:r>
          </w:p>
        </w:tc>
      </w:tr>
    </w:tbl>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 Descrierea Zonelor Prioritare pentru Biodiversitate distincte de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pe teritoriul ariei naturale protejate/OECM</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82,50</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w:t>
      </w:r>
      <w:sdt>
        <w:sdtPr>
          <w:id w:val="-1239140916"/>
          <w:tag w:val="goog_rdk_9"/>
        </w:sdtP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 rezervația naturală RONPA0319 Cheile Globului.</w:t>
      </w:r>
    </w:p>
    <w:p w:rsidR="00000000" w:rsidDel="00000000" w:rsidP="00000000" w:rsidRDefault="00000000" w:rsidRPr="00000000" w14:paraId="00000067">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 </w:t>
      </w:r>
    </w:p>
    <w:p w:rsidR="00000000" w:rsidDel="00000000" w:rsidP="00000000" w:rsidRDefault="00000000" w:rsidRPr="00000000" w14:paraId="00000068">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sz w:val="22"/>
          <w:szCs w:val="22"/>
          <w:highlight w:val="yellow"/>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sz w:val="22"/>
          <w:szCs w:val="22"/>
          <w:highlight w:val="yellow"/>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sz w:val="22"/>
          <w:szCs w:val="22"/>
          <w:highlight w:val="yellow"/>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sidDel="00000000" w:rsidR="00000000" w:rsidRPr="00000000">
        <w:rPr>
          <w:rtl w:val="0"/>
        </w:rPr>
      </w:r>
    </w:p>
    <w:tbl>
      <w:tblPr>
        <w:tblStyle w:val="Table8"/>
        <w:tblW w:w="8964.0" w:type="dxa"/>
        <w:jc w:val="left"/>
        <w:tblInd w:w="-97.00000000000001" w:type="dxa"/>
        <w:tblLayout w:type="fixed"/>
        <w:tblLook w:val="0000"/>
      </w:tblPr>
      <w:tblGrid>
        <w:gridCol w:w="2507"/>
        <w:gridCol w:w="6457"/>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tufărișuri și lande temperate:</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40A0* Tufărişuri subcontinentale peripanonice </w:t>
              <w:br w:type="textWrapping"/>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pajiști naturale:</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6190 Pajişti panonice de stâncării (Stipo-Festucetalia pallentis) </w:t>
              <w:br w:type="textWrapping"/>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stâncoase și peșteri:</w:t>
            </w: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8110 Grohotişuri silicatice din etajul montan până în etajul nival (Androsacetalia alpinae şi Galeopsietalia ladani) </w:t>
              <w:br w:type="textWrapping"/>
              <w:t xml:space="preserve">8220 Versanţi stâncoşi silicatici cu vegetaţie casmofitică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Nevertebrate:</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Anoylus fluvitilis </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Bucculatrix mehadiensis</w:t>
              <w:br w:type="textWrapping"/>
              <w:t xml:space="preserve">Campylea faustina</w:t>
              <w:br w:type="textWrapping"/>
              <w:t xml:space="preserve">Limax maxinus</w:t>
              <w:br w:type="textWrapping"/>
              <w:t xml:space="preserve">Solenobia banatica</w:t>
              <w:br w:type="textWrapping"/>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Păsări:</w:t>
            </w: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A333 Tichodroma muraria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Zona include habitate deschise cu valoare conservativă ridicată, dezvoltate pe substraturi stâncoase și grohotișuri, caracterizate prin condiții ecologice specifice și prin prezența unor comunități biologice adaptate mediilor cu grad ridicat de expunere și resurse limitate. Diversitatea condițiilor microclimatice și a substratului contribuie la menținerea unor ecosisteme rare și reprezentative la nivel regional.</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 a zonei este susținută de prezența unor specii de nevertebrate și păsări de interes conservativ asociate habitatelor stâncoase, tufărișurilor și pajiștilor naturale, precum și de rolul acestora în menținerea biodiversității specifice ecosistemelor rupicole. Importanța conservativă a zonei este evidențiată și de suprapunerea cu o rezervație naturală și un monument al naturii, relevante pentru protecția patrimoniului natural și a elementelor geologice și biologice asociate.</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Desemnarea ca ZPB se fundamentează pe criteriile stabilite de metodologie pentru rezervațiile naturale și monumentele naturii, precum și pe prezența habitatelor și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Obiective și măsuri pentru habitatele de pajiști seminaturale din ZPB – regim de management activ</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 general de conservare</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specifice:</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O1. Menținerea suprafețelor de pajiști și prevenirea abandonului sau conversiei către alte categorii de folosință.</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O2. Menținerea unei structuri mozaicate favorabile biodiversității.</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O3. Evitarea degradării habitatelor prin suprapășunat, subpășunat, compactarea solului și eroziune.</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O4. Limitarea utilizării substanțelor chimice și prevenirea eutrofizării habitatelor.</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O5. Controlul speciilor invazive și limitarea instalării vegetației lemnoase.</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O6. Monitorizarea utilizării habitatelor și adaptarea managementului în funcție de rezultate.</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Măsuri de conservare:</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Cosirea se realizează astfel încât să permită retragerea faunei, menținându-se anual suprafețe-refugiu necosite temporar.</w:t>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Se evită atât suprapășunatul, cât și subpășunatul, precum și concentrarea excesivă a animalelor în zone sensibile ale habitatului.</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Târlitul se realizează controlat și cu schimbarea periodică a amplasamentelor, evitându-se apariția suprafețelor nitrofile și degradarea habitatului.</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Vegetația lemnoasă invadantă se îndepărtează selectiv și periodic, menținându-se elementele cu rol ecologic, antierozional sau de refugiu pentru specii.</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Speciile invazive se monitorizează și se controlează prin metode mecanice și măsuri cu impact redus asupra habitatelor naturale.</w:t>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Se mențin structurile de habitat favorabile biodiversității, inclusiv tufărișurile dispersate, arborii izolați, gardurile vii și zonele de ecoton.</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17. Activitățile turistice și recreative se desfășoară fără afectarea habitatelor și a speciilor de interes conservativ.</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18.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9D">
            <w:pPr>
              <w:jc w:val="both"/>
              <w:rPr>
                <w:b w:val="1"/>
                <w:bCs w:val="1"/>
                <w:sz w:val="22"/>
                <w:szCs w:val="22"/>
              </w:rPr>
            </w:pPr>
            <w:r w:rsidDel="00000000" w:rsidR="00000000" w:rsidRPr="00000000">
              <w:rPr>
                <w:b w:val="1"/>
                <w:bCs w:val="1"/>
                <w:sz w:val="22"/>
                <w:szCs w:val="22"/>
                <w:rtl w:val="0"/>
              </w:rPr>
              <w:t xml:space="preserve">Obiective și măsuri de conservare pentru habitatele de tufărișuri și mozaic tufăriș–pajiște, pășuni cu arbori – regim de management activ</w:t>
            </w:r>
          </w:p>
          <w:p w:rsidR="00000000" w:rsidDel="00000000" w:rsidP="00000000" w:rsidRDefault="00000000" w:rsidRPr="00000000" w14:paraId="0000009E">
            <w:pPr>
              <w:jc w:val="both"/>
              <w:rPr>
                <w:b w:val="1"/>
                <w:bCs w:val="1"/>
                <w:sz w:val="22"/>
                <w:szCs w:val="22"/>
              </w:rPr>
            </w:pPr>
            <w:r w:rsidDel="00000000" w:rsidR="00000000" w:rsidRPr="00000000">
              <w:rPr>
                <w:b w:val="1"/>
                <w:bCs w:val="1"/>
                <w:sz w:val="22"/>
                <w:szCs w:val="22"/>
                <w:rtl w:val="0"/>
              </w:rPr>
              <w:t xml:space="preserve">Obiectiv de conservare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Menținerea pe termen lung a funcțiilor ecosistemelor de tufăriș prin păstrarea structurii în mozaic (zone dense, zone deschise, margini gradate), conservarea speciilor native dominante și controlul presiunilor antropice (fragmentare, acces motorizat, pășunat neadecvat).</w:t>
            </w:r>
          </w:p>
          <w:p w:rsidR="00000000" w:rsidDel="00000000" w:rsidP="00000000" w:rsidRDefault="00000000" w:rsidRPr="00000000" w14:paraId="000000A0">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O1. Menținerea structurii habitatului fără fragmentare artificială prin intervenții agresive.</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O2. Asigurarea regenerării speciilor native dominante (monitorizare și măsuri punctuale).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O3. Prevenirea pășunatului în tufărișurile rare sau în regenerare, acolo unde afectează obiectivele.</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O4. Prevenirea instalării de arbori colonizatori acolo unde schimbă tipul de habitat.</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O5. Controlul speciilor invazive și menținerea alternanței cu pajiști, când aceasta susține biodiversitatea.</w:t>
            </w:r>
          </w:p>
          <w:p w:rsidR="00000000" w:rsidDel="00000000" w:rsidP="00000000" w:rsidRDefault="00000000" w:rsidRPr="00000000" w14:paraId="000000A6">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A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16"/>
              </w:tabs>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Interzicerea accesului motorizat în habitat: accesul cu ATV/enduro și alte vehicule este interzis în interiorul tufărișurilor și pe marginile sensibile, pentru a evita fragmentarea, eroziunea și deranjul faunei.</w:t>
            </w:r>
          </w:p>
          <w:p w:rsidR="00000000" w:rsidDel="00000000" w:rsidP="00000000" w:rsidRDefault="00000000" w:rsidRPr="00000000" w14:paraId="000000A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16"/>
              </w:tabs>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Pășunat – doar dacă este compatibil: pășunatul se restricționează sau se interzice în tufărișurile rare/în regenerare; în rest se permite doar controlat, astfel încât să nu blocheze regenerarea și să nu degradeze solul.</w:t>
            </w:r>
          </w:p>
          <w:p w:rsidR="00000000" w:rsidDel="00000000" w:rsidP="00000000" w:rsidRDefault="00000000" w:rsidRPr="00000000" w14:paraId="000000A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16"/>
              </w:tabs>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Evitarea lucrărilor de răriri/curățiri care fragmentează: sunt interzise „curățirile” care distrug structura habitatului; orice intervenție trebuie justificată explicit prin obiective de conservare și aplicată pe suprafețe mici.</w:t>
            </w:r>
          </w:p>
          <w:p w:rsidR="00000000" w:rsidDel="00000000" w:rsidP="00000000" w:rsidRDefault="00000000" w:rsidRPr="00000000" w14:paraId="000000A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16"/>
              </w:tabs>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Gestionare în mozaic cu cicluri lungi: acolo unde tufărișul tinde să devină uniform sau să se închidă excesiv, se pot aplica tăieri selective și ciclice, menținând alternanța de zone dense și deschise și margini gradate (fără intervenții „în bloc”).</w:t>
            </w:r>
          </w:p>
          <w:p w:rsidR="00000000" w:rsidDel="00000000" w:rsidP="00000000" w:rsidRDefault="00000000" w:rsidRPr="00000000" w14:paraId="000000AB">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16"/>
              </w:tabs>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Controlul arborilor colonizatori: se îndepărtează arborii tineri care duc la transformarea habitatului (de exemplu transformarea habitatului de tufăriș prin succesiune către stadiul forestier), păstrând elementele utile antierozional/structural.</w:t>
            </w:r>
          </w:p>
          <w:p w:rsidR="00000000" w:rsidDel="00000000" w:rsidP="00000000" w:rsidRDefault="00000000" w:rsidRPr="00000000" w14:paraId="000000A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16"/>
              </w:tabs>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Controlul speciilor invazive: se aplică detectare timpurie și intervenții în focare, cu prioritate în zonele de contact cu drumuri și utilizări; se urmărește prevenirea extinderii în nucleele sensibile.</w:t>
            </w:r>
          </w:p>
          <w:p w:rsidR="00000000" w:rsidDel="00000000" w:rsidP="00000000" w:rsidRDefault="00000000" w:rsidRPr="00000000" w14:paraId="000000A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16"/>
              </w:tabs>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Monitorizare: se evaluează periodic regenerarea, structura în mozaic și presiunile (acces, pășunat, invazive) pentru a decide dacă sunt necesare intervenții minime.</w:t>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tabs>
                <w:tab w:val="left" w:leader="none" w:pos="316"/>
              </w:tabs>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E">
            <w:pPr>
              <w:jc w:val="both"/>
              <w:rPr>
                <w:b w:val="1"/>
                <w:bCs w:val="1"/>
                <w:sz w:val="22"/>
                <w:szCs w:val="22"/>
              </w:rPr>
            </w:pPr>
            <w:r w:rsidDel="00000000" w:rsidR="00000000" w:rsidRPr="00000000">
              <w:rPr>
                <w:b w:val="1"/>
                <w:bCs w:val="1"/>
                <w:sz w:val="22"/>
                <w:szCs w:val="22"/>
                <w:rtl w:val="0"/>
              </w:rPr>
              <w:t xml:space="preserve">Obiective și măsuri de conservare pentru habitatele de stâncării / grohotișuri – regim de management activ</w:t>
            </w:r>
          </w:p>
          <w:p w:rsidR="00000000" w:rsidDel="00000000" w:rsidP="00000000" w:rsidRDefault="00000000" w:rsidRPr="00000000" w14:paraId="000000AF">
            <w:pPr>
              <w:jc w:val="both"/>
              <w:rPr>
                <w:b w:val="1"/>
                <w:bCs w:val="1"/>
                <w:sz w:val="22"/>
                <w:szCs w:val="22"/>
              </w:rPr>
            </w:pPr>
            <w:r w:rsidDel="00000000" w:rsidR="00000000" w:rsidRPr="00000000">
              <w:rPr>
                <w:b w:val="1"/>
                <w:bCs w:val="1"/>
                <w:sz w:val="22"/>
                <w:szCs w:val="22"/>
                <w:rtl w:val="0"/>
              </w:rPr>
              <w:t xml:space="preserve">Obiectiv de conservare</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Menținerea și refacerea funcțiilor ecosistemelor de stâncărie și grohotiș prin reducerea presiunilor antropice, protejarea speciilor și microhabitatelor sensibile și stabilizarea zonelor degradate, acolo unde este necesar.</w:t>
            </w:r>
          </w:p>
          <w:p w:rsidR="00000000" w:rsidDel="00000000" w:rsidP="00000000" w:rsidRDefault="00000000" w:rsidRPr="00000000" w14:paraId="000000B1">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O1. Reducerea degradărilor fizice și a deranjului asupra habitatelor și speciilor asociate.</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O2. Refacerea zonelor afectate de eroziune și trafic necontrolat.</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O3. Protejarea speciilor rare, endemice sau sensibile (inclusiv păsări cuibăritoare pe stâncă).</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O4. Controlul speciilor alogene invazive din zonele de contact.</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O5. Creșterea siguranței publice fără afectarea inutilă a proceselor naturale.</w:t>
            </w:r>
          </w:p>
          <w:p w:rsidR="00000000" w:rsidDel="00000000" w:rsidP="00000000" w:rsidRDefault="00000000" w:rsidRPr="00000000" w14:paraId="000000B7">
            <w:pPr>
              <w:jc w:val="both"/>
              <w:rPr>
                <w:b w:val="1"/>
                <w:bCs w:val="1"/>
                <w:sz w:val="22"/>
                <w:szCs w:val="22"/>
              </w:rPr>
            </w:pPr>
            <w:r w:rsidDel="00000000" w:rsidR="00000000" w:rsidRPr="00000000">
              <w:rPr>
                <w:b w:val="1"/>
                <w:bCs w:val="1"/>
                <w:sz w:val="22"/>
                <w:szCs w:val="22"/>
                <w:rtl w:val="0"/>
              </w:rPr>
              <w:t xml:space="preserve">Măsuri de management</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Management activ al accesului, prin restricționarea sau redirecționarea fluxurilor de vizitare, limitarea activităților recreative incompatibile și instituirea de restricții spațio-temporale în zone sensibile.</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Reglementarea escaladei și a altor activități recreative, inclusiv interzicerea acestora în sectoarele cu specii sensibile și eliminarea echipărilor neautorizate.</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Refacerea zonelor degradate prin măsuri cu impact redus (stabilizarea substratului, refacerea vegetației caracteristice), utilizând tehnici adaptate condițiilor locale.</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Controlul și eliminarea speciilor invazive, în special în zonele de margine, pe trasee și în sectoarele degradate.</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Măsuri punctuale pentru siguranța publică, aplicate strict localizat și proporțional, evitând intervențiile de amploare care ar modifica caracterul natural al habitatului.</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Monitorizarea proceselor geomorfologice și biologice, pentru a evalua eficiența măsurilor și a ajusta intervențiile în mod adaptiv.</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Publică de stat</w:t>
            </w:r>
          </w:p>
        </w:tc>
      </w:tr>
    </w:tbl>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3.3. Bibliografie </w:t>
      </w: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Doniță, N., Ceianu, I., Purcelean, Ş., &amp; Beldie, A. 1977. Ecologie forestieră:(cu elemente de ecologie generală). Ceres.</w:t>
      </w:r>
    </w:p>
    <w:p w:rsidR="00000000" w:rsidDel="00000000" w:rsidP="00000000" w:rsidRDefault="00000000" w:rsidRPr="00000000" w14:paraId="000000C3">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w:t>
      </w:r>
    </w:p>
    <w:p w:rsidR="00000000" w:rsidDel="00000000" w:rsidP="00000000" w:rsidRDefault="00000000" w:rsidRPr="00000000" w14:paraId="000000C4">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Doniță, A. Popescu, Pauca- Comănescu M., Mihăilescu S., 2005. Habitatele din Romania” – Biriș I., Editura Tehnica Silvica, București</w:t>
      </w:r>
    </w:p>
    <w:p w:rsidR="00000000" w:rsidDel="00000000" w:rsidP="00000000" w:rsidRDefault="00000000" w:rsidRPr="00000000" w14:paraId="000000C5">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“Manual de interpretare a habitatelor Natura 2000 din Romania”, Ed. RISOPRINT, editor M.M.D.D.</w:t>
      </w:r>
    </w:p>
    <w:p w:rsidR="00000000" w:rsidDel="00000000" w:rsidP="00000000" w:rsidRDefault="00000000" w:rsidRPr="00000000" w14:paraId="000000C6">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4. Consultări publice cu privire la desemnarea</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Zonelor Prioritare pentru Biodiversitate</w:t>
      </w: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Detalii privind consultările publice realizate:</w:t>
      </w:r>
    </w:p>
    <w:p w:rsidR="00000000" w:rsidDel="00000000" w:rsidP="00000000" w:rsidRDefault="00000000" w:rsidRPr="00000000" w14:paraId="000000CA">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hl5cft8a068d"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16 septembrie 2024 – Reșița, jud. Caraș-Severin </w:t>
        <w:br w:type="textWrapping"/>
        <w:t xml:space="preserve">12 iunie 2025 – DS Caraș Severin</w:t>
      </w:r>
    </w:p>
    <w:p w:rsidR="00000000" w:rsidDel="00000000" w:rsidP="00000000" w:rsidRDefault="00000000" w:rsidRPr="00000000" w14:paraId="000000CB">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 hibrid la nivel județean, desfășurate în data de 15 decembrie 2025, cu participarea reprezentanților unităților administrativ-teritoriale, ai prefecturilor și/sau ai altor instituții relevante, după caz.</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 Harta Zonelor Prioritare pentru Biodiversitate</w:t>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cy4n99e6nisj" w:id="1"/>
      <w:bookmarkEnd w:id="1"/>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Limitele Zonelor Prioritare pentru Biodiversitate sunt disponibile în format digital pe website-ul MMAP, accesând link-ul: </w:t>
      </w:r>
      <w:hyperlink r:id="rId9">
        <w:r w:rsidDel="00000000" w:rsidR="00000000" w:rsidRPr="00000000">
          <w:rPr>
            <w:rFonts w:ascii="Arial" w:cs="Arial" w:eastAsia="Arial" w:hAnsi="Arial"/>
            <w:b w:val="0"/>
            <w:bCs w:val="0"/>
            <w:i w:val="0"/>
            <w:iCs w:val="0"/>
            <w:smallCaps w:val="0"/>
            <w:strike w:val="0"/>
            <w:color w:val="0563c1"/>
            <w:sz w:val="22"/>
            <w:szCs w:val="22"/>
            <w:u w:val="single"/>
            <w:shd w:fill="auto" w:val="clear"/>
            <w:vertAlign w:val="baseline"/>
            <w:rtl w:val="0"/>
          </w:rPr>
          <w:t xml:space="preserve">https://mmediu.ro/domenii/mediu/arii-naturale-protejate/ZPB-pnrr-i3-2/rezultatele-proiectului/</w:t>
        </w:r>
      </w:hyperlin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Calibri" w:cs="Calibri" w:eastAsia="Calibri" w:hAnsi="Calibri"/>
      <w:b w:val="0"/>
      <w:bCs w:val="0"/>
      <w:i w:val="0"/>
      <w:iCs w:val="0"/>
      <w:smallCaps w:val="0"/>
      <w:strike w:val="0"/>
      <w:color w:val="2f5496"/>
      <w:sz w:val="40"/>
      <w:szCs w:val="4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60" w:line="240" w:lineRule="auto"/>
      <w:ind w:left="0" w:right="0" w:firstLine="0"/>
      <w:jc w:val="left"/>
    </w:pPr>
    <w:rPr>
      <w:rFonts w:ascii="Calibri" w:cs="Calibri" w:eastAsia="Calibri" w:hAnsi="Calibri"/>
      <w:b w:val="0"/>
      <w:bCs w:val="0"/>
      <w:i w:val="0"/>
      <w:iCs w:val="0"/>
      <w:smallCaps w:val="0"/>
      <w:strike w:val="0"/>
      <w:color w:val="2f5496"/>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60" w:line="240" w:lineRule="auto"/>
      <w:ind w:left="0" w:right="0" w:firstLine="0"/>
      <w:jc w:val="left"/>
    </w:pPr>
    <w:rPr>
      <w:rFonts w:ascii="Arial" w:cs="Arial" w:eastAsia="Arial" w:hAnsi="Arial"/>
      <w:b w:val="0"/>
      <w:bCs w:val="0"/>
      <w:i w:val="0"/>
      <w:iCs w:val="0"/>
      <w:smallCaps w:val="0"/>
      <w:strike w:val="0"/>
      <w:color w:val="2f5496"/>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80" w:line="240" w:lineRule="auto"/>
      <w:ind w:left="0" w:right="0" w:firstLine="0"/>
      <w:jc w:val="left"/>
    </w:pPr>
    <w:rPr>
      <w:rFonts w:ascii="Arial" w:cs="Arial" w:eastAsia="Arial" w:hAnsi="Arial"/>
      <w:b w:val="0"/>
      <w:bCs w:val="0"/>
      <w:i w:val="1"/>
      <w:iCs w:val="1"/>
      <w:smallCaps w:val="0"/>
      <w:strike w:val="0"/>
      <w:color w:val="2f5496"/>
      <w:sz w:val="20"/>
      <w:szCs w:val="20"/>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80" w:line="240" w:lineRule="auto"/>
      <w:ind w:left="0" w:right="0" w:firstLine="0"/>
      <w:jc w:val="left"/>
    </w:pPr>
    <w:rPr>
      <w:rFonts w:ascii="Arial" w:cs="Arial" w:eastAsia="Arial" w:hAnsi="Arial"/>
      <w:b w:val="0"/>
      <w:bCs w:val="0"/>
      <w:i w:val="0"/>
      <w:iCs w:val="0"/>
      <w:smallCaps w:val="0"/>
      <w:strike w:val="0"/>
      <w:color w:val="2f5496"/>
      <w:sz w:val="20"/>
      <w:szCs w:val="20"/>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Arial" w:cs="Arial" w:eastAsia="Arial" w:hAnsi="Arial"/>
      <w:b w:val="0"/>
      <w:bCs w:val="0"/>
      <w:i w:val="1"/>
      <w:iCs w:val="1"/>
      <w:smallCaps w:val="0"/>
      <w:strike w:val="0"/>
      <w:color w:val="595959"/>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40" w:lineRule="auto"/>
      <w:ind w:left="0" w:right="0" w:firstLine="0"/>
      <w:jc w:val="left"/>
    </w:pPr>
    <w:rPr>
      <w:rFonts w:ascii="Calibri" w:cs="Calibri" w:eastAsia="Calibri" w:hAnsi="Calibri"/>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pPr>
    <w:rPr>
      <w:rFonts w:ascii="Arial" w:cs="Arial" w:eastAsia="Arial" w:hAnsi="Arial"/>
      <w:b w:val="0"/>
      <w:bCs w:val="0"/>
      <w:i w:val="0"/>
      <w:iCs w:val="0"/>
      <w:smallCaps w:val="0"/>
      <w:strike w:val="0"/>
      <w:color w:val="595959"/>
      <w:sz w:val="28"/>
      <w:szCs w:val="2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s-pnrr-i3-2/rezultatele-proiectului/"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BCXUy64QCBWkX8mQJQYLVZ4a5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JwoBORIiCiAIBCocCgtBQUFCX1Q3WVNDcxAIGgtBQUFCX1Q3WVNDcyLfAQoLQUFBQl9UN1lTQ3MSrQEKC0FBQUJfVDdZU0NzEgtBQUFCX1Q3WVNDcxoXCgl0ZXh0L2h0bWwSCnNpIE9NIDEwNjYiGAoKdGV4dC9wbGFpbhIKc2kgT00gMTA2NiobIhUxMTc0MDMyMTMxNzcyMDQxNDYzNTYoADgAMPTnq4LtMzj056uC7TNaDDQyaWp6ZW9vcWN4MXICIAB4AJoBBggAEAAYAKoBDBIKc2kgT00gMTA2NrABALgBAcgBABj056uC7TMg9Oergu0zMABCEGtpeC5oeW9jYzkxMmR6OXAyDmguaGw1Y2Z0OGEwNjhkMg5oLmN5NG45OWU2bmlzajgAciExMW5heVduM25fdTUxc05pS1o4YXp6OU1pa1N4M1l2bD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